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B25F63" w:rsidP="00B25F63" w14:paraId="53F5AD01" w14:textId="2407CBF4">
      <w:pPr>
        <w:jc w:val="center"/>
      </w:pPr>
      <w:r>
        <w:rPr>
          <w:b/>
        </w:rPr>
        <w:t>COLORADO</w:t>
      </w:r>
      <w:r w:rsidR="00DA3B2E">
        <w:rPr>
          <w:b/>
        </w:rPr>
        <w:t xml:space="preserve"> </w:t>
      </w:r>
      <w:r w:rsidR="007A56FA">
        <w:rPr>
          <w:b/>
        </w:rPr>
        <w:t xml:space="preserve">STATE </w:t>
      </w:r>
      <w:r w:rsidR="00DA3B2E">
        <w:rPr>
          <w:b/>
        </w:rPr>
        <w:t>ADDENDUM</w:t>
      </w:r>
    </w:p>
    <w:p w:rsidR="0045787F" w:rsidP="00B25F63" w14:paraId="12FAEB30" w14:textId="334E4CCF">
      <w:r>
        <w:t xml:space="preserve">This addendum to the </w:t>
      </w:r>
      <w:r w:rsidR="00167804">
        <w:t>MCAD</w:t>
      </w:r>
      <w:r>
        <w:t xml:space="preserve"> Handbook</w:t>
      </w:r>
      <w:r w:rsidR="00280C4C">
        <w:t xml:space="preserve"> (the “</w:t>
      </w:r>
      <w:r w:rsidR="00E731BF">
        <w:t>Colorado</w:t>
      </w:r>
      <w:r w:rsidR="00280C4C">
        <w:t xml:space="preserve"> Addendum”)</w:t>
      </w:r>
      <w:r>
        <w:t xml:space="preserve"> applies to all eligible employees</w:t>
      </w:r>
      <w:r w:rsidR="00280C4C">
        <w:t xml:space="preserve"> working</w:t>
      </w:r>
      <w:r>
        <w:t xml:space="preserve"> in the state of </w:t>
      </w:r>
      <w:r w:rsidR="00E731BF">
        <w:t>Colorado</w:t>
      </w:r>
      <w:r>
        <w:t>.</w:t>
      </w:r>
      <w:r w:rsidR="00280C4C">
        <w:t xml:space="preserve"> The </w:t>
      </w:r>
      <w:r w:rsidR="00E731BF">
        <w:t>Colorado</w:t>
      </w:r>
      <w:r w:rsidR="00280C4C">
        <w:t xml:space="preserve"> Addendum modifies and supersedes some, but not all, of the policies set forth in the Handbook. To the extent there are any inconsistencies between the Handbook and the </w:t>
      </w:r>
      <w:r w:rsidR="00E731BF">
        <w:t>Colorado</w:t>
      </w:r>
      <w:r w:rsidR="00280C4C">
        <w:t xml:space="preserve"> Addendum, the terms of the </w:t>
      </w:r>
      <w:r w:rsidR="00E731BF">
        <w:t xml:space="preserve">Colorado </w:t>
      </w:r>
      <w:r w:rsidR="00280C4C">
        <w:t xml:space="preserve">Addendum shall control. If you have any questions regarding the application of the </w:t>
      </w:r>
      <w:r w:rsidR="00E731BF">
        <w:t xml:space="preserve">Colorado </w:t>
      </w:r>
      <w:r w:rsidR="00280C4C">
        <w:t>Addendum, please contact Human Resources.</w:t>
      </w:r>
    </w:p>
    <w:p w:rsidR="00043A88" w:rsidP="00043A88" w14:paraId="46944CFA" w14:textId="77777777">
      <w:pPr>
        <w:rPr>
          <w:b/>
        </w:rPr>
      </w:pPr>
      <w:r>
        <w:rPr>
          <w:b/>
        </w:rPr>
        <w:t>Equal Opportunity Employment</w:t>
      </w:r>
    </w:p>
    <w:p w:rsidR="00043A88" w:rsidP="00043A88" w14:paraId="425A0071" w14:textId="78F5B135">
      <w:r>
        <w:t xml:space="preserve">In addition to the protected classifications outlined in our general Equal Employment Opportunity policy, the </w:t>
      </w:r>
      <w:r w:rsidR="00107F13">
        <w:t>College</w:t>
      </w:r>
      <w:r>
        <w:t xml:space="preserve"> also prohibits an</w:t>
      </w:r>
      <w:r>
        <w:t>y form of discrimination or harassment based on traits associated with race, such as hair texture, hair type, and protective hairstyles.</w:t>
      </w:r>
    </w:p>
    <w:p w:rsidR="00AC3B96" w:rsidRPr="00063ACA" w:rsidP="00AC3B96" w14:paraId="77E70DE7" w14:textId="77777777">
      <w:r>
        <w:rPr>
          <w:b/>
        </w:rPr>
        <w:t>Vacation Pay at Separation</w:t>
      </w:r>
    </w:p>
    <w:p w:rsidR="00AC3B96" w:rsidRPr="00E15A52" w:rsidP="00AC3B96" w14:paraId="760D48F5" w14:textId="331A857F">
      <w:r w:rsidRPr="00063ACA">
        <w:t xml:space="preserve">Eligible employees working in </w:t>
      </w:r>
      <w:r>
        <w:t>Colorado</w:t>
      </w:r>
      <w:r w:rsidRPr="00063ACA">
        <w:t xml:space="preserve"> will be paid for all unused, accrued </w:t>
      </w:r>
      <w:r>
        <w:t>vacation time</w:t>
      </w:r>
      <w:r w:rsidRPr="00063ACA">
        <w:t xml:space="preserve"> up</w:t>
      </w:r>
      <w:r w:rsidRPr="00063ACA">
        <w:t xml:space="preserve">on termination </w:t>
      </w:r>
      <w:r>
        <w:t xml:space="preserve">or resignation </w:t>
      </w:r>
      <w:r w:rsidRPr="00063ACA">
        <w:t>of employment.</w:t>
      </w:r>
      <w:r>
        <w:t xml:space="preserve"> </w:t>
      </w:r>
    </w:p>
    <w:p w:rsidR="00D819AC" w:rsidRPr="002F5A42" w:rsidP="00D819AC" w14:paraId="721E0F29" w14:textId="77777777">
      <w:r w:rsidRPr="002F5A42">
        <w:rPr>
          <w:b/>
        </w:rPr>
        <w:t>Jury/Witness Duty</w:t>
      </w:r>
    </w:p>
    <w:p w:rsidR="00D819AC" w:rsidP="00D819AC" w14:paraId="06389734" w14:textId="6A832EC9">
      <w:r w:rsidRPr="002F5A42">
        <w:t>The C</w:t>
      </w:r>
      <w:r w:rsidR="00167804">
        <w:t>ollege</w:t>
      </w:r>
      <w:r w:rsidRPr="002F5A42">
        <w:t xml:space="preserve"> expects each employee summoned for jury or witness duty to serve as a responsible ‎citizen.‎</w:t>
      </w:r>
    </w:p>
    <w:p w:rsidR="00D819AC" w:rsidP="00D819AC" w14:paraId="440D4A61" w14:textId="0DCEC85A">
      <w:r>
        <w:t xml:space="preserve">The </w:t>
      </w:r>
      <w:r w:rsidR="00167804">
        <w:t>College</w:t>
      </w:r>
      <w:r>
        <w:t xml:space="preserve"> will pay up to $50 per day in compensation for the first three days of jury</w:t>
      </w:r>
      <w:r>
        <w:t xml:space="preserve">/witness duty.  If an employee’s jury/witness duty extends beyond three days, the </w:t>
      </w:r>
      <w:r w:rsidR="00167804">
        <w:t>College</w:t>
      </w:r>
      <w:r>
        <w:t xml:space="preserve"> will pay the difference between the employee’s regular salary and the jury duty pay.  ‎Compensation for jury duty is limited to two weeks in any calendar year unless </w:t>
      </w:r>
      <w:r>
        <w:t>otherwise required by ‎law.  The employee must submit validation of the amount of jury duty pay to the Human Resource ‎Manager.  If jurors are excused prior to 1:00 p.m. during any business day, employees are expected to ‎return to work.‎</w:t>
      </w:r>
    </w:p>
    <w:p w:rsidR="00E55C10" w:rsidP="00D819AC" w14:paraId="277FA353" w14:textId="1078E728">
      <w:r>
        <w:rPr>
          <w:b/>
          <w:bCs/>
        </w:rPr>
        <w:t>Meals and Breaks</w:t>
      </w:r>
    </w:p>
    <w:p w:rsidR="00E55C10" w:rsidP="00D819AC" w14:paraId="56FB4D94" w14:textId="465A5F06">
      <w:r>
        <w:t>E</w:t>
      </w:r>
      <w:r w:rsidRPr="00E55C10">
        <w:t xml:space="preserve">mployees </w:t>
      </w:r>
      <w:r>
        <w:t>are provided</w:t>
      </w:r>
      <w:r w:rsidRPr="00E55C10">
        <w:t xml:space="preserve"> a</w:t>
      </w:r>
      <w:r w:rsidR="00566862">
        <w:t>n unpaid</w:t>
      </w:r>
      <w:r w:rsidRPr="00E55C10">
        <w:t xml:space="preserve"> meal period of no less than thirty (30) minutes when they work more than five (5) consecutive hour</w:t>
      </w:r>
      <w:r>
        <w:t>s during which they are relieved</w:t>
      </w:r>
      <w:r w:rsidRPr="00E55C10">
        <w:t xml:space="preserve"> of all duties. </w:t>
      </w:r>
      <w:r>
        <w:t>W</w:t>
      </w:r>
      <w:r w:rsidRPr="00E55C10">
        <w:t xml:space="preserve">hen practical, </w:t>
      </w:r>
      <w:r>
        <w:t>employees are required</w:t>
      </w:r>
      <w:r w:rsidRPr="00E55C10">
        <w:t xml:space="preserve"> to take meal </w:t>
      </w:r>
      <w:r>
        <w:t xml:space="preserve">breaks between at least one </w:t>
      </w:r>
      <w:r w:rsidRPr="00E55C10">
        <w:t xml:space="preserve">(1) hour </w:t>
      </w:r>
      <w:r>
        <w:t>after</w:t>
      </w:r>
      <w:r w:rsidRPr="00E55C10">
        <w:t xml:space="preserve"> the start of their shift and one (1) hour before the end of their shift.</w:t>
      </w:r>
    </w:p>
    <w:p w:rsidR="00E55C10" w:rsidP="00D819AC" w14:paraId="1E3ABA13" w14:textId="18441888">
      <w:r>
        <w:t>Employees are provided ten (10) minute breaks in accordance with the following schedule: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8"/>
        <w:gridCol w:w="1530"/>
      </w:tblGrid>
      <w:tr w14:paraId="79FB6403" w14:textId="77777777" w:rsidTr="00B73855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7E74EBE7" w14:textId="7F0A77FD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Work Hours</w:t>
            </w:r>
          </w:p>
        </w:tc>
        <w:tc>
          <w:tcPr>
            <w:tcW w:w="1530" w:type="dxa"/>
          </w:tcPr>
          <w:p w:rsidR="00E55C10" w:rsidP="00D819AC" w14:paraId="668AE837" w14:textId="20041DED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Rest Periods</w:t>
            </w:r>
          </w:p>
        </w:tc>
      </w:tr>
      <w:tr w14:paraId="25BF75CD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3C38C5B8" w14:textId="6CC4FD1B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2 or fewer</w:t>
            </w:r>
          </w:p>
        </w:tc>
        <w:tc>
          <w:tcPr>
            <w:tcW w:w="1530" w:type="dxa"/>
          </w:tcPr>
          <w:p w:rsidR="00E55C10" w:rsidP="00D819AC" w14:paraId="6905FCC8" w14:textId="5C2EEFB1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0</w:t>
            </w:r>
          </w:p>
        </w:tc>
      </w:tr>
      <w:tr w14:paraId="6D1FBB23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3D16F797" w14:textId="66EE1FFB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2</w:t>
            </w:r>
            <w:r w:rsidR="00B73855"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,</w:t>
            </w: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 xml:space="preserve"> and </w:t>
            </w: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up to 6</w:t>
            </w:r>
          </w:p>
        </w:tc>
        <w:tc>
          <w:tcPr>
            <w:tcW w:w="1530" w:type="dxa"/>
          </w:tcPr>
          <w:p w:rsidR="00E55C10" w:rsidP="00D819AC" w14:paraId="35252596" w14:textId="4C1282DD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1</w:t>
            </w:r>
          </w:p>
        </w:tc>
      </w:tr>
      <w:tr w14:paraId="2A80A281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755B3123" w14:textId="41AFA99C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6, and up to 10</w:t>
            </w:r>
          </w:p>
        </w:tc>
        <w:tc>
          <w:tcPr>
            <w:tcW w:w="1530" w:type="dxa"/>
          </w:tcPr>
          <w:p w:rsidR="00E55C10" w:rsidP="00D819AC" w14:paraId="4678FCA2" w14:textId="7D333B0A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2</w:t>
            </w:r>
          </w:p>
        </w:tc>
      </w:tr>
      <w:tr w14:paraId="12F3477C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23E6E590" w14:textId="66175DEA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10, and up to 14</w:t>
            </w:r>
          </w:p>
        </w:tc>
        <w:tc>
          <w:tcPr>
            <w:tcW w:w="1530" w:type="dxa"/>
          </w:tcPr>
          <w:p w:rsidR="00E55C10" w:rsidP="00D819AC" w14:paraId="6C018FB7" w14:textId="316CD7E9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3</w:t>
            </w:r>
          </w:p>
        </w:tc>
      </w:tr>
      <w:tr w14:paraId="3FA2A086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1A0A1805" w14:textId="1623CC41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14, and up to 18</w:t>
            </w:r>
          </w:p>
        </w:tc>
        <w:tc>
          <w:tcPr>
            <w:tcW w:w="1530" w:type="dxa"/>
          </w:tcPr>
          <w:p w:rsidR="00E55C10" w:rsidP="00D819AC" w14:paraId="10484598" w14:textId="37A3C110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4</w:t>
            </w:r>
          </w:p>
        </w:tc>
      </w:tr>
      <w:tr w14:paraId="22121E73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E55C10" w:rsidP="00D819AC" w14:paraId="5CF51962" w14:textId="306397A8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18, and up to 22</w:t>
            </w:r>
          </w:p>
        </w:tc>
        <w:tc>
          <w:tcPr>
            <w:tcW w:w="1530" w:type="dxa"/>
          </w:tcPr>
          <w:p w:rsidR="00E55C10" w:rsidP="00D819AC" w14:paraId="41DBA33C" w14:textId="20325E3A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5</w:t>
            </w:r>
          </w:p>
        </w:tc>
      </w:tr>
      <w:tr w14:paraId="780558B9" w14:textId="77777777" w:rsidTr="00B73855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B73855" w:rsidP="00D819AC" w14:paraId="435A0E0E" w14:textId="1EF58596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22</w:t>
            </w:r>
          </w:p>
        </w:tc>
        <w:tc>
          <w:tcPr>
            <w:tcW w:w="1530" w:type="dxa"/>
          </w:tcPr>
          <w:p w:rsidR="00B73855" w:rsidP="00D819AC" w14:paraId="70DA0BD8" w14:textId="4755A1A0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6</w:t>
            </w:r>
          </w:p>
        </w:tc>
      </w:tr>
    </w:tbl>
    <w:p w:rsidR="00E24026" w:rsidP="00E24026" w14:paraId="1C5DD373" w14:textId="67C36BA9">
      <w:r>
        <w:t>‎</w:t>
      </w:r>
      <w:r>
        <w:rPr>
          <w:b/>
          <w:bCs/>
        </w:rPr>
        <w:t>Personnel Files</w:t>
      </w:r>
    </w:p>
    <w:p w:rsidR="00E24026" w:rsidP="00E24026" w14:paraId="5685B127" w14:textId="77777777">
      <w:pPr>
        <w:rPr>
          <w:bCs/>
          <w:szCs w:val="24"/>
        </w:rPr>
      </w:pPr>
      <w:r>
        <w:rPr>
          <w:bCs/>
          <w:szCs w:val="24"/>
        </w:rPr>
        <w:t>The College will</w:t>
      </w:r>
      <w:r w:rsidRPr="00E24026">
        <w:rPr>
          <w:bCs/>
          <w:szCs w:val="24"/>
        </w:rPr>
        <w:t xml:space="preserve">, upon the request of an employee, permit that employee to inspect and obtain a copy of any part of </w:t>
      </w:r>
      <w:r w:rsidRPr="00E24026">
        <w:rPr>
          <w:bCs/>
          <w:szCs w:val="24"/>
        </w:rPr>
        <w:t>his or her own personnel file or files at the employer's office and at a time convenient to both the employer and the employee</w:t>
      </w:r>
      <w:r>
        <w:rPr>
          <w:bCs/>
          <w:szCs w:val="24"/>
        </w:rPr>
        <w:t xml:space="preserve"> up to once annually</w:t>
      </w:r>
      <w:r w:rsidRPr="00E24026">
        <w:rPr>
          <w:bCs/>
          <w:szCs w:val="24"/>
        </w:rPr>
        <w:t>. A former employee may make one inspection of his or her personnel file after termination of employment</w:t>
      </w:r>
      <w:r>
        <w:rPr>
          <w:bCs/>
          <w:szCs w:val="24"/>
        </w:rPr>
        <w:t xml:space="preserve">. </w:t>
      </w:r>
    </w:p>
    <w:p w:rsidR="00600285" w:rsidRPr="00261493" w:rsidP="00E24026" w14:paraId="19E6CCE1" w14:textId="04A6FA68">
      <w:pPr>
        <w:spacing w:before="240"/>
        <w:rPr>
          <w:b/>
        </w:rPr>
      </w:pPr>
      <w:r w:rsidRPr="00261493">
        <w:rPr>
          <w:b/>
        </w:rPr>
        <w:t>Sic</w:t>
      </w:r>
      <w:r w:rsidRPr="00261493">
        <w:rPr>
          <w:b/>
        </w:rPr>
        <w:t>k Leave for</w:t>
      </w:r>
      <w:r w:rsidR="00A9547F">
        <w:rPr>
          <w:b/>
        </w:rPr>
        <w:t xml:space="preserve"> Colorado</w:t>
      </w:r>
      <w:r w:rsidRPr="00261493">
        <w:rPr>
          <w:b/>
        </w:rPr>
        <w:t xml:space="preserve"> Employees</w:t>
      </w:r>
      <w:r>
        <w:rPr>
          <w:b/>
        </w:rPr>
        <w:t xml:space="preserve"> in </w:t>
      </w:r>
      <w:r w:rsidR="00A900FC">
        <w:rPr>
          <w:b/>
        </w:rPr>
        <w:t>Colorado</w:t>
      </w:r>
    </w:p>
    <w:p w:rsidR="008502A0" w:rsidP="00515E72" w14:paraId="2DD82EA9" w14:textId="51259ADD">
      <w:r>
        <w:t>An employee’s right to use PTO for the reasons set forth by law</w:t>
      </w:r>
      <w:r w:rsidR="00AB5527">
        <w:t xml:space="preserve"> is guaranteed</w:t>
      </w:r>
      <w:r>
        <w:t xml:space="preserve">, including </w:t>
      </w:r>
      <w:r w:rsidR="00AB5527">
        <w:t>for (1) mental or physical illness, injury or health condition that prevents work, including diagnosis or preventive care; (2) domestic abuse, sexual assault, or criminal harassment leading to health, relocation, legal, or other services needs; (</w:t>
      </w:r>
      <w:r>
        <w:t>3</w:t>
      </w:r>
      <w:r w:rsidR="00AB5527">
        <w:t>) during a public health emergency, where a public official has closed the workplace or the school or place of care of the employee’s child</w:t>
      </w:r>
      <w:r>
        <w:t>, or where an employee is required to self-isolate or care for oneself because of a communicable illness that is the cause of the public health emergency; or (4) an immediate family member who experiences (1)–(3).</w:t>
      </w:r>
    </w:p>
    <w:p w:rsidR="001B33AA" w:rsidRPr="00600285" w:rsidP="00585E4F" w14:paraId="4F631683" w14:textId="55846251">
      <w:r>
        <w:t xml:space="preserve">Retaliation against employees who request or use time off for reasons permitted by law is prohibited. Employees have the right to file a complaint or bring a civil action if paid sick leave is denied by the </w:t>
      </w:r>
      <w:r w:rsidR="00167804">
        <w:t>College</w:t>
      </w:r>
      <w:r>
        <w:t xml:space="preserve"> or the employee is subjected to retaliati</w:t>
      </w:r>
      <w:r>
        <w:t xml:space="preserve">on for requesting or taking earned paid sick time. </w:t>
      </w:r>
    </w:p>
    <w:p w:rsidR="00585E4F" w:rsidRPr="00585E4F" w:rsidP="00B25F63" w14:paraId="2D390857" w14:textId="77777777"/>
    <w:p w:rsidR="00B25F63" w:rsidRPr="00B25F63" w:rsidP="00B25F63" w14:paraId="0001BC2A" w14:textId="7929B08F">
      <w:pPr>
        <w:spacing w:after="0" w:line="180" w:lineRule="exact"/>
        <w:rPr>
          <w:b/>
        </w:rPr>
      </w:pPr>
      <w:r>
        <w:rPr>
          <w:rFonts w:ascii="Arial" w:hAnsi="Arial" w:cs="Arial"/>
          <w:sz w:val="16"/>
        </w:rPr>
        <w:t>4855-0248-4999, v. 1</w:t>
      </w: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0568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A8" w14:paraId="4FF4B804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F63" w14:paraId="7A4442E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57FE1"/>
    <w:multiLevelType w:val="hybridMultilevel"/>
    <w:tmpl w:val="652E0E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55D79"/>
    <w:multiLevelType w:val="hybridMultilevel"/>
    <w:tmpl w:val="7D885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45FD"/>
    <w:multiLevelType w:val="hybridMultilevel"/>
    <w:tmpl w:val="56D6AD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D36B5"/>
    <w:multiLevelType w:val="hybridMultilevel"/>
    <w:tmpl w:val="F46425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81B62"/>
    <w:multiLevelType w:val="hybridMultilevel"/>
    <w:tmpl w:val="5D32E06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2E"/>
    <w:rsid w:val="00020EAB"/>
    <w:rsid w:val="00022568"/>
    <w:rsid w:val="00043A88"/>
    <w:rsid w:val="000472BC"/>
    <w:rsid w:val="00063ACA"/>
    <w:rsid w:val="00091931"/>
    <w:rsid w:val="000E1209"/>
    <w:rsid w:val="00107F13"/>
    <w:rsid w:val="0014286A"/>
    <w:rsid w:val="00167804"/>
    <w:rsid w:val="001B33AA"/>
    <w:rsid w:val="001F2816"/>
    <w:rsid w:val="00261493"/>
    <w:rsid w:val="00280C4C"/>
    <w:rsid w:val="002F5A42"/>
    <w:rsid w:val="00427617"/>
    <w:rsid w:val="004566A4"/>
    <w:rsid w:val="0045787F"/>
    <w:rsid w:val="00464717"/>
    <w:rsid w:val="004C72AE"/>
    <w:rsid w:val="00515E72"/>
    <w:rsid w:val="005542A1"/>
    <w:rsid w:val="00566862"/>
    <w:rsid w:val="00577D6B"/>
    <w:rsid w:val="00585E4F"/>
    <w:rsid w:val="00600285"/>
    <w:rsid w:val="00601F57"/>
    <w:rsid w:val="006115D4"/>
    <w:rsid w:val="0062433E"/>
    <w:rsid w:val="00663D4E"/>
    <w:rsid w:val="00672432"/>
    <w:rsid w:val="00683E4B"/>
    <w:rsid w:val="006C114F"/>
    <w:rsid w:val="006D57FB"/>
    <w:rsid w:val="0074584C"/>
    <w:rsid w:val="00780074"/>
    <w:rsid w:val="007A56FA"/>
    <w:rsid w:val="007F4C09"/>
    <w:rsid w:val="007F5D94"/>
    <w:rsid w:val="00835A24"/>
    <w:rsid w:val="008502A0"/>
    <w:rsid w:val="00915C85"/>
    <w:rsid w:val="009341A4"/>
    <w:rsid w:val="009C00A3"/>
    <w:rsid w:val="00A900FC"/>
    <w:rsid w:val="00A9547F"/>
    <w:rsid w:val="00AB5527"/>
    <w:rsid w:val="00AC3B96"/>
    <w:rsid w:val="00AC76E4"/>
    <w:rsid w:val="00AE4525"/>
    <w:rsid w:val="00B07D1B"/>
    <w:rsid w:val="00B25F63"/>
    <w:rsid w:val="00B37470"/>
    <w:rsid w:val="00B73855"/>
    <w:rsid w:val="00B73C19"/>
    <w:rsid w:val="00C07306"/>
    <w:rsid w:val="00C07AB5"/>
    <w:rsid w:val="00C17A09"/>
    <w:rsid w:val="00C45480"/>
    <w:rsid w:val="00D45AB4"/>
    <w:rsid w:val="00D762BB"/>
    <w:rsid w:val="00D819AC"/>
    <w:rsid w:val="00DA3B2E"/>
    <w:rsid w:val="00DC4830"/>
    <w:rsid w:val="00E15A52"/>
    <w:rsid w:val="00E20CA8"/>
    <w:rsid w:val="00E24026"/>
    <w:rsid w:val="00E36294"/>
    <w:rsid w:val="00E55C10"/>
    <w:rsid w:val="00E62426"/>
    <w:rsid w:val="00E731BF"/>
    <w:rsid w:val="00EE3EB3"/>
    <w:rsid w:val="00FC75D3"/>
    <w:rsid w:val="00FD70B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96F8E61"/>
  <w15:docId w15:val="{5ACFCA34-E274-4594-A331-3C281D7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63"/>
  </w:style>
  <w:style w:type="paragraph" w:styleId="Footer">
    <w:name w:val="footer"/>
    <w:basedOn w:val="Normal"/>
    <w:link w:val="FooterChar"/>
    <w:uiPriority w:val="99"/>
    <w:unhideWhenUsed/>
    <w:rsid w:val="00B2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63"/>
  </w:style>
  <w:style w:type="character" w:styleId="CommentReference">
    <w:name w:val="annotation reference"/>
    <w:basedOn w:val="DefaultParagraphFont"/>
    <w:unhideWhenUsed/>
    <w:rsid w:val="00C0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0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2AE"/>
    <w:rPr>
      <w:vertAlign w:val="superscript"/>
    </w:rPr>
  </w:style>
  <w:style w:type="paragraph" w:customStyle="1" w:styleId="00s">
    <w:name w:val="0/0s"/>
    <w:basedOn w:val="Normal"/>
    <w:uiPriority w:val="99"/>
    <w:qFormat/>
    <w:rsid w:val="001B33AA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E5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8761-F9F7-4F82-80FE-A3CB9CA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2022-10-07T18:00:36Z</dcterms:created>
  <dcterms:modified xsi:type="dcterms:W3CDTF">2022-10-07T18:00:36Z</dcterms:modified>
</cp:coreProperties>
</file>