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6.0 -->
  <w:body>
    <w:p w:rsidR="00B25F63" w:rsidP="00B25F63" w14:paraId="6E413E3A" w14:textId="77777777">
      <w:pPr>
        <w:jc w:val="center"/>
      </w:pPr>
      <w:r>
        <w:rPr>
          <w:b/>
        </w:rPr>
        <w:t>OREGON</w:t>
      </w:r>
      <w:r w:rsidR="00DA3B2E">
        <w:rPr>
          <w:b/>
        </w:rPr>
        <w:t xml:space="preserve"> </w:t>
      </w:r>
      <w:r w:rsidR="007A56FA">
        <w:rPr>
          <w:b/>
        </w:rPr>
        <w:t xml:space="preserve">STATE </w:t>
      </w:r>
      <w:r w:rsidR="00DA3B2E">
        <w:rPr>
          <w:b/>
        </w:rPr>
        <w:t>ADDENDUM</w:t>
      </w:r>
    </w:p>
    <w:p w:rsidR="0045787F" w:rsidRPr="0045787F" w:rsidP="00B25F63" w14:paraId="57FD3087" w14:textId="14E874C9">
      <w:r>
        <w:t xml:space="preserve">This addendum to the </w:t>
      </w:r>
      <w:r w:rsidR="008868E9">
        <w:t xml:space="preserve">MCAD </w:t>
      </w:r>
      <w:r>
        <w:t>Handbook</w:t>
      </w:r>
      <w:r w:rsidR="00280C4C">
        <w:t xml:space="preserve"> (the “</w:t>
      </w:r>
      <w:r w:rsidR="00490F89">
        <w:t>Oregon</w:t>
      </w:r>
      <w:r w:rsidR="00280C4C">
        <w:t xml:space="preserve"> Addendum”)</w:t>
      </w:r>
      <w:r>
        <w:t xml:space="preserve"> applies to all eligible employees</w:t>
      </w:r>
      <w:r w:rsidR="00280C4C">
        <w:t xml:space="preserve"> working</w:t>
      </w:r>
      <w:r>
        <w:t xml:space="preserve"> in the state of </w:t>
      </w:r>
      <w:r w:rsidR="00490F89">
        <w:t>Oregon</w:t>
      </w:r>
      <w:r>
        <w:t>.</w:t>
      </w:r>
      <w:r w:rsidR="00280C4C">
        <w:t xml:space="preserve"> The </w:t>
      </w:r>
      <w:r w:rsidR="00490F89">
        <w:t>Oregon</w:t>
      </w:r>
      <w:r w:rsidR="00280C4C">
        <w:t xml:space="preserve"> Addendum modifies and supersedes some, but not all, of the policies set forth in the Handbook. To the extent there are any inconsistencies between the Handbook and the </w:t>
      </w:r>
      <w:r w:rsidR="00490F89">
        <w:t>Oregon</w:t>
      </w:r>
      <w:r w:rsidR="00280C4C">
        <w:t xml:space="preserve"> Addendum, the terms of the </w:t>
      </w:r>
      <w:r w:rsidR="00490F89">
        <w:t>Oregon</w:t>
      </w:r>
      <w:r w:rsidR="00577D6B">
        <w:t xml:space="preserve"> </w:t>
      </w:r>
      <w:r w:rsidR="00280C4C">
        <w:t xml:space="preserve">Addendum shall control. If you have any questions regarding the application of the </w:t>
      </w:r>
      <w:r w:rsidR="00490F89">
        <w:t xml:space="preserve">Oregon </w:t>
      </w:r>
      <w:r w:rsidR="00280C4C">
        <w:t>Addendum, please contact Human Resources.</w:t>
      </w:r>
    </w:p>
    <w:p w:rsidR="00AE4525" w:rsidP="00B25F63" w14:paraId="273B95D1" w14:textId="77777777">
      <w:pPr>
        <w:rPr>
          <w:b/>
        </w:rPr>
      </w:pPr>
      <w:r>
        <w:rPr>
          <w:b/>
        </w:rPr>
        <w:t>Equal Opportunity Employment</w:t>
      </w:r>
    </w:p>
    <w:p w:rsidR="00AE4525" w:rsidP="00B25F63" w14:paraId="33EF468C" w14:textId="398F7D1A">
      <w:r>
        <w:t xml:space="preserve">In addition to the protected classifications outlined in our general Equal Employment Opportunity policy, the </w:t>
      </w:r>
      <w:r w:rsidR="008868E9">
        <w:t>College</w:t>
      </w:r>
      <w:r>
        <w:t xml:space="preserve"> also prohibits any form</w:t>
      </w:r>
      <w:r>
        <w:t xml:space="preserve"> of discrimination or harassment based on </w:t>
      </w:r>
      <w:r w:rsidR="00BF2592">
        <w:t xml:space="preserve">military status and </w:t>
      </w:r>
      <w:r w:rsidR="0034799F">
        <w:t>an individual’s juvenile record that has been expunged</w:t>
      </w:r>
      <w:r w:rsidR="00610BE9">
        <w:t>, and</w:t>
      </w:r>
      <w:r w:rsidRPr="00610BE9" w:rsidR="00610BE9">
        <w:rPr>
          <w:rFonts w:cs="Times New Roman"/>
          <w:szCs w:val="24"/>
        </w:rPr>
        <w:t xml:space="preserve"> </w:t>
      </w:r>
      <w:r w:rsidRPr="00263B4D" w:rsidR="00610BE9">
        <w:rPr>
          <w:rFonts w:cs="Times New Roman"/>
          <w:szCs w:val="24"/>
        </w:rPr>
        <w:t>traits historically associated with race, such as hair texture and protective hairstyles</w:t>
      </w:r>
      <w:r>
        <w:t xml:space="preserve"> in accordance with state law.</w:t>
      </w:r>
      <w:r w:rsidRPr="000472BC" w:rsidR="000472BC">
        <w:t>‎</w:t>
      </w:r>
    </w:p>
    <w:p w:rsidR="00805789" w:rsidP="00805789" w14:paraId="7178E63D" w14:textId="77777777">
      <w:r>
        <w:rPr>
          <w:b/>
          <w:bCs/>
        </w:rPr>
        <w:t>Personnel File</w:t>
      </w:r>
      <w:r>
        <w:rPr>
          <w:b/>
          <w:bCs/>
        </w:rPr>
        <w:t>s</w:t>
      </w:r>
    </w:p>
    <w:p w:rsidR="00805789" w:rsidP="00805789" w14:paraId="46259451" w14:textId="10FD8438">
      <w:pPr>
        <w:rPr>
          <w:bCs/>
          <w:szCs w:val="24"/>
        </w:rPr>
      </w:pPr>
      <w:r>
        <w:rPr>
          <w:bCs/>
          <w:szCs w:val="24"/>
        </w:rPr>
        <w:t xml:space="preserve">The College will provide, not more than forty-five (45) days after receipt of a written request from a current or former employee, an opportunity to inspect and a certified copy of the employee’s personnel records that have been used to </w:t>
      </w:r>
      <w:r w:rsidRPr="00805789">
        <w:rPr>
          <w:bCs/>
          <w:szCs w:val="24"/>
        </w:rPr>
        <w:t>determine the emp</w:t>
      </w:r>
      <w:r w:rsidRPr="00805789">
        <w:rPr>
          <w:bCs/>
          <w:szCs w:val="24"/>
        </w:rPr>
        <w:t>loyee’s qualification for employment, promotion, additional compensation, employment termination or other disciplinary action and time and pay records of the employee</w:t>
      </w:r>
      <w:r>
        <w:rPr>
          <w:bCs/>
          <w:szCs w:val="24"/>
        </w:rPr>
        <w:t>. The employee may be charged a reasonable fee for costs incurred in providing the employe</w:t>
      </w:r>
      <w:r>
        <w:rPr>
          <w:bCs/>
          <w:szCs w:val="24"/>
        </w:rPr>
        <w:t>e with the personnel records.</w:t>
      </w:r>
    </w:p>
    <w:p w:rsidR="00511596" w:rsidP="00805789" w14:paraId="68C60513" w14:textId="1073D2E1">
      <w:pPr>
        <w:rPr>
          <w:bCs/>
          <w:szCs w:val="24"/>
        </w:rPr>
      </w:pPr>
      <w:r>
        <w:rPr>
          <w:b/>
          <w:szCs w:val="24"/>
        </w:rPr>
        <w:t>Meals and Breaks</w:t>
      </w:r>
    </w:p>
    <w:p w:rsidR="00511596" w:rsidP="00511596" w14:paraId="41C666BE" w14:textId="26EE5029">
      <w:r>
        <w:t>E</w:t>
      </w:r>
      <w:r w:rsidRPr="00E55C10">
        <w:t xml:space="preserve">mployees </w:t>
      </w:r>
      <w:r>
        <w:t>are provided</w:t>
      </w:r>
      <w:r w:rsidRPr="00E55C10">
        <w:t xml:space="preserve"> a</w:t>
      </w:r>
      <w:r>
        <w:t>n unpaid</w:t>
      </w:r>
      <w:r w:rsidRPr="00E55C10">
        <w:t xml:space="preserve"> meal period of no less than thirty (30) minutes when they work more than </w:t>
      </w:r>
      <w:r>
        <w:t>six</w:t>
      </w:r>
      <w:r w:rsidRPr="00E55C10">
        <w:t xml:space="preserve"> (</w:t>
      </w:r>
      <w:r>
        <w:t>6</w:t>
      </w:r>
      <w:r w:rsidRPr="00E55C10">
        <w:t>) consecutive hour</w:t>
      </w:r>
      <w:r>
        <w:t>s during which they are relieved</w:t>
      </w:r>
      <w:r w:rsidRPr="00E55C10">
        <w:t xml:space="preserve"> of all duties. </w:t>
      </w:r>
      <w:r>
        <w:t xml:space="preserve">Employees working seven (7) </w:t>
      </w:r>
      <w:r>
        <w:t>hours or less are required</w:t>
      </w:r>
      <w:r w:rsidRPr="00E55C10">
        <w:t xml:space="preserve"> to take meal </w:t>
      </w:r>
      <w:r>
        <w:t xml:space="preserve">breaks at least two </w:t>
      </w:r>
      <w:r w:rsidRPr="00E55C10">
        <w:t>(</w:t>
      </w:r>
      <w:r>
        <w:t>2</w:t>
      </w:r>
      <w:r w:rsidRPr="00E55C10">
        <w:t>) hour</w:t>
      </w:r>
      <w:r>
        <w:t>s</w:t>
      </w:r>
      <w:r w:rsidRPr="00E55C10">
        <w:t xml:space="preserve"> </w:t>
      </w:r>
      <w:r>
        <w:t>after</w:t>
      </w:r>
      <w:r w:rsidRPr="00E55C10">
        <w:t xml:space="preserve"> the start of their shift and </w:t>
      </w:r>
      <w:r>
        <w:t>no later than the fifth (5</w:t>
      </w:r>
      <w:r w:rsidRPr="00511596">
        <w:rPr>
          <w:vertAlign w:val="superscript"/>
        </w:rPr>
        <w:t>th</w:t>
      </w:r>
      <w:r>
        <w:t>)</w:t>
      </w:r>
      <w:r w:rsidRPr="00E55C10">
        <w:t xml:space="preserve"> hour </w:t>
      </w:r>
      <w:r>
        <w:t>of their shift. Employees working more than seven (7) hours</w:t>
      </w:r>
      <w:r w:rsidR="00C55DF3">
        <w:t xml:space="preserve"> are required to take meal breaks at least three (3) hours after the start of their shift and no later than the sixth (6</w:t>
      </w:r>
      <w:r w:rsidRPr="00C55DF3" w:rsidR="00C55DF3">
        <w:rPr>
          <w:vertAlign w:val="superscript"/>
        </w:rPr>
        <w:t>th</w:t>
      </w:r>
      <w:r w:rsidR="00C55DF3">
        <w:t xml:space="preserve">) hour of their shift. </w:t>
      </w:r>
    </w:p>
    <w:p w:rsidR="00511596" w:rsidP="00511596" w14:paraId="73606761" w14:textId="77777777">
      <w:r>
        <w:t>Employees are provided ten (10) minute breaks in accordance with the following schedule:</w:t>
      </w:r>
    </w:p>
    <w:tbl>
      <w:tblPr>
        <w:tblStyle w:val="TableGrid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48"/>
        <w:gridCol w:w="1530"/>
      </w:tblGrid>
      <w:tr w14:paraId="33D4E96E" w14:textId="77777777" w:rsidTr="00B6736E">
        <w:tblPrEx>
          <w:tblW w:w="0" w:type="auto"/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2448" w:type="dxa"/>
          </w:tcPr>
          <w:p w:rsidR="00511596" w:rsidP="00B6736E" w14:paraId="546AE4B4" w14:textId="77777777">
            <w:pPr>
              <w:spacing w:after="0" w:line="240" w:lineRule="auto"/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  <w:t>Work Hours</w:t>
            </w:r>
          </w:p>
        </w:tc>
        <w:tc>
          <w:tcPr>
            <w:tcW w:w="1530" w:type="dxa"/>
          </w:tcPr>
          <w:p w:rsidR="00511596" w:rsidP="00B6736E" w14:paraId="23D4BFF5" w14:textId="77777777">
            <w:pPr>
              <w:spacing w:after="0" w:line="240" w:lineRule="auto"/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  <w:t>Rest Periods</w:t>
            </w:r>
          </w:p>
        </w:tc>
      </w:tr>
      <w:tr w14:paraId="086F32A3" w14:textId="77777777" w:rsidTr="00B6736E">
        <w:tblPrEx>
          <w:tblW w:w="0" w:type="auto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2448" w:type="dxa"/>
          </w:tcPr>
          <w:p w:rsidR="00511596" w:rsidP="00B6736E" w14:paraId="0A0BE91F" w14:textId="77777777">
            <w:pPr>
              <w:spacing w:after="0" w:line="240" w:lineRule="auto"/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  <w:t>2 or fewer</w:t>
            </w:r>
          </w:p>
        </w:tc>
        <w:tc>
          <w:tcPr>
            <w:tcW w:w="1530" w:type="dxa"/>
          </w:tcPr>
          <w:p w:rsidR="00511596" w:rsidP="00B6736E" w14:paraId="05FAFAAB" w14:textId="77777777">
            <w:pPr>
              <w:spacing w:after="0" w:line="240" w:lineRule="auto"/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  <w:t>0</w:t>
            </w:r>
          </w:p>
        </w:tc>
      </w:tr>
      <w:tr w14:paraId="3CB202DF" w14:textId="77777777" w:rsidTr="00B6736E">
        <w:tblPrEx>
          <w:tblW w:w="0" w:type="auto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2448" w:type="dxa"/>
          </w:tcPr>
          <w:p w:rsidR="00511596" w:rsidP="00B6736E" w14:paraId="2CF659C1" w14:textId="77777777">
            <w:pPr>
              <w:spacing w:after="0" w:line="240" w:lineRule="auto"/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  <w:t>Over 2, and up to 6</w:t>
            </w:r>
          </w:p>
        </w:tc>
        <w:tc>
          <w:tcPr>
            <w:tcW w:w="1530" w:type="dxa"/>
          </w:tcPr>
          <w:p w:rsidR="00511596" w:rsidP="00B6736E" w14:paraId="01DDFFFB" w14:textId="77777777">
            <w:pPr>
              <w:spacing w:after="0" w:line="240" w:lineRule="auto"/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  <w:t>1</w:t>
            </w:r>
          </w:p>
        </w:tc>
      </w:tr>
      <w:tr w14:paraId="6D44175B" w14:textId="77777777" w:rsidTr="00B6736E">
        <w:tblPrEx>
          <w:tblW w:w="0" w:type="auto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2448" w:type="dxa"/>
          </w:tcPr>
          <w:p w:rsidR="00511596" w:rsidP="00B6736E" w14:paraId="1424F1D2" w14:textId="77777777">
            <w:pPr>
              <w:spacing w:after="0" w:line="240" w:lineRule="auto"/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  <w:t>Over 6, and up t</w:t>
            </w:r>
            <w:r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  <w:t>o 10</w:t>
            </w:r>
          </w:p>
        </w:tc>
        <w:tc>
          <w:tcPr>
            <w:tcW w:w="1530" w:type="dxa"/>
          </w:tcPr>
          <w:p w:rsidR="00511596" w:rsidP="00B6736E" w14:paraId="685DB05F" w14:textId="77777777">
            <w:pPr>
              <w:spacing w:after="0" w:line="240" w:lineRule="auto"/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  <w:t>2</w:t>
            </w:r>
          </w:p>
        </w:tc>
      </w:tr>
      <w:tr w14:paraId="7E53A941" w14:textId="77777777" w:rsidTr="00B6736E">
        <w:tblPrEx>
          <w:tblW w:w="0" w:type="auto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2448" w:type="dxa"/>
          </w:tcPr>
          <w:p w:rsidR="00511596" w:rsidP="00B6736E" w14:paraId="6840FF02" w14:textId="77777777">
            <w:pPr>
              <w:spacing w:after="0" w:line="240" w:lineRule="auto"/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  <w:t>Over 10, and up to 14</w:t>
            </w:r>
          </w:p>
        </w:tc>
        <w:tc>
          <w:tcPr>
            <w:tcW w:w="1530" w:type="dxa"/>
          </w:tcPr>
          <w:p w:rsidR="00511596" w:rsidP="00B6736E" w14:paraId="2083E0CC" w14:textId="77777777">
            <w:pPr>
              <w:spacing w:after="0" w:line="240" w:lineRule="auto"/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  <w:t>3</w:t>
            </w:r>
          </w:p>
        </w:tc>
      </w:tr>
      <w:tr w14:paraId="4B6CE156" w14:textId="77777777" w:rsidTr="00B6736E">
        <w:tblPrEx>
          <w:tblW w:w="0" w:type="auto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2448" w:type="dxa"/>
          </w:tcPr>
          <w:p w:rsidR="00511596" w:rsidP="00B6736E" w14:paraId="6A9116D3" w14:textId="77777777">
            <w:pPr>
              <w:spacing w:after="0" w:line="240" w:lineRule="auto"/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  <w:t>Over 14, and up to 18</w:t>
            </w:r>
          </w:p>
        </w:tc>
        <w:tc>
          <w:tcPr>
            <w:tcW w:w="1530" w:type="dxa"/>
          </w:tcPr>
          <w:p w:rsidR="00511596" w:rsidP="00B6736E" w14:paraId="5B25925D" w14:textId="77777777">
            <w:pPr>
              <w:spacing w:after="0" w:line="240" w:lineRule="auto"/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  <w:t>4</w:t>
            </w:r>
          </w:p>
        </w:tc>
      </w:tr>
      <w:tr w14:paraId="1D0FB2D5" w14:textId="77777777" w:rsidTr="00B6736E">
        <w:tblPrEx>
          <w:tblW w:w="0" w:type="auto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2448" w:type="dxa"/>
          </w:tcPr>
          <w:p w:rsidR="00511596" w:rsidP="00B6736E" w14:paraId="2B0D7B22" w14:textId="77777777">
            <w:pPr>
              <w:spacing w:after="0" w:line="240" w:lineRule="auto"/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  <w:t>Over 18, and up to 22</w:t>
            </w:r>
          </w:p>
        </w:tc>
        <w:tc>
          <w:tcPr>
            <w:tcW w:w="1530" w:type="dxa"/>
          </w:tcPr>
          <w:p w:rsidR="00511596" w:rsidP="00B6736E" w14:paraId="3F39877E" w14:textId="77777777">
            <w:pPr>
              <w:spacing w:after="0" w:line="240" w:lineRule="auto"/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  <w:t>5</w:t>
            </w:r>
          </w:p>
        </w:tc>
      </w:tr>
      <w:tr w14:paraId="635B0F36" w14:textId="77777777" w:rsidTr="00B6736E">
        <w:tblPrEx>
          <w:tblW w:w="0" w:type="auto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2448" w:type="dxa"/>
          </w:tcPr>
          <w:p w:rsidR="00511596" w:rsidP="00B6736E" w14:paraId="7E4C68D8" w14:textId="77777777">
            <w:pPr>
              <w:spacing w:after="0" w:line="240" w:lineRule="auto"/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  <w:t>Over 22</w:t>
            </w:r>
          </w:p>
        </w:tc>
        <w:tc>
          <w:tcPr>
            <w:tcW w:w="1530" w:type="dxa"/>
          </w:tcPr>
          <w:p w:rsidR="00511596" w:rsidP="00B6736E" w14:paraId="545F3402" w14:textId="77777777">
            <w:pPr>
              <w:spacing w:after="0" w:line="240" w:lineRule="auto"/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 w:cstheme="minorBidi"/>
                <w:sz w:val="24"/>
                <w:szCs w:val="22"/>
                <w:lang w:val="en-US" w:eastAsia="en-US" w:bidi="ar-SA"/>
              </w:rPr>
              <w:t>6</w:t>
            </w:r>
          </w:p>
        </w:tc>
      </w:tr>
    </w:tbl>
    <w:p w:rsidR="00B25F63" w:rsidRPr="00B25F63" w:rsidP="00B25F63" w14:paraId="7F6C560A" w14:textId="4E979043">
      <w:pPr>
        <w:spacing w:after="0" w:line="180" w:lineRule="exact"/>
        <w:rPr>
          <w:b/>
        </w:rPr>
      </w:pPr>
      <w:r>
        <w:rPr>
          <w:rFonts w:ascii="Arial" w:hAnsi="Arial" w:cs="Arial"/>
          <w:sz w:val="16"/>
        </w:rPr>
        <w:t>4864-3060-5831, v. 1</w:t>
      </w:r>
    </w:p>
    <w:sectPr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405684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0CA8" w14:paraId="263EAEB5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5F63" w14:paraId="4DC118BD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D57FE1"/>
    <w:multiLevelType w:val="hybridMultilevel"/>
    <w:tmpl w:val="652E0E1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655D79"/>
    <w:multiLevelType w:val="hybridMultilevel"/>
    <w:tmpl w:val="7D8855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045FD"/>
    <w:multiLevelType w:val="hybridMultilevel"/>
    <w:tmpl w:val="64544B7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835B6A"/>
    <w:multiLevelType w:val="hybridMultilevel"/>
    <w:tmpl w:val="61E4EFE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66D36B5"/>
    <w:multiLevelType w:val="hybridMultilevel"/>
    <w:tmpl w:val="F46425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C10F38"/>
    <w:multiLevelType w:val="hybridMultilevel"/>
    <w:tmpl w:val="24DEA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81B62"/>
    <w:multiLevelType w:val="hybridMultilevel"/>
    <w:tmpl w:val="5D32E06A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B2E"/>
    <w:rsid w:val="000472BC"/>
    <w:rsid w:val="00056095"/>
    <w:rsid w:val="00063ACA"/>
    <w:rsid w:val="00091931"/>
    <w:rsid w:val="000E1209"/>
    <w:rsid w:val="00120736"/>
    <w:rsid w:val="00141931"/>
    <w:rsid w:val="0014286A"/>
    <w:rsid w:val="001D337A"/>
    <w:rsid w:val="001F2816"/>
    <w:rsid w:val="00261493"/>
    <w:rsid w:val="00263B4D"/>
    <w:rsid w:val="00280C4C"/>
    <w:rsid w:val="0031145A"/>
    <w:rsid w:val="0034799F"/>
    <w:rsid w:val="00386032"/>
    <w:rsid w:val="004566A4"/>
    <w:rsid w:val="0045787F"/>
    <w:rsid w:val="00464717"/>
    <w:rsid w:val="00490F89"/>
    <w:rsid w:val="004C72AE"/>
    <w:rsid w:val="00511596"/>
    <w:rsid w:val="005542A1"/>
    <w:rsid w:val="00577D6B"/>
    <w:rsid w:val="00585E4F"/>
    <w:rsid w:val="00600285"/>
    <w:rsid w:val="00601F57"/>
    <w:rsid w:val="00610BE9"/>
    <w:rsid w:val="006115D4"/>
    <w:rsid w:val="006463A0"/>
    <w:rsid w:val="00663D4E"/>
    <w:rsid w:val="006D57FB"/>
    <w:rsid w:val="00780074"/>
    <w:rsid w:val="007834CD"/>
    <w:rsid w:val="007A31CA"/>
    <w:rsid w:val="007A56FA"/>
    <w:rsid w:val="007F5D94"/>
    <w:rsid w:val="00805789"/>
    <w:rsid w:val="00832E3A"/>
    <w:rsid w:val="0086090C"/>
    <w:rsid w:val="00881C73"/>
    <w:rsid w:val="008868E9"/>
    <w:rsid w:val="00894FC8"/>
    <w:rsid w:val="008B3E34"/>
    <w:rsid w:val="008F5AA1"/>
    <w:rsid w:val="00915C85"/>
    <w:rsid w:val="009341A4"/>
    <w:rsid w:val="00945BE5"/>
    <w:rsid w:val="009629E3"/>
    <w:rsid w:val="00AE4525"/>
    <w:rsid w:val="00B25F63"/>
    <w:rsid w:val="00B6736E"/>
    <w:rsid w:val="00B73C19"/>
    <w:rsid w:val="00BF2592"/>
    <w:rsid w:val="00C07306"/>
    <w:rsid w:val="00C47B93"/>
    <w:rsid w:val="00C55DF3"/>
    <w:rsid w:val="00C6548D"/>
    <w:rsid w:val="00CA5935"/>
    <w:rsid w:val="00D45AB4"/>
    <w:rsid w:val="00D762BB"/>
    <w:rsid w:val="00DA3B2E"/>
    <w:rsid w:val="00DC4830"/>
    <w:rsid w:val="00E055CA"/>
    <w:rsid w:val="00E15A52"/>
    <w:rsid w:val="00E20CA8"/>
    <w:rsid w:val="00E36294"/>
    <w:rsid w:val="00E55C10"/>
    <w:rsid w:val="00EA2DDD"/>
    <w:rsid w:val="00EB5824"/>
    <w:rsid w:val="00EE3EB3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ocId w14:val="6E91BA3F"/>
  <w15:docId w15:val="{5ACFCA34-E274-4594-A331-3C281D76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6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F63"/>
  </w:style>
  <w:style w:type="paragraph" w:styleId="Footer">
    <w:name w:val="footer"/>
    <w:basedOn w:val="Normal"/>
    <w:link w:val="FooterChar"/>
    <w:uiPriority w:val="99"/>
    <w:unhideWhenUsed/>
    <w:rsid w:val="00B25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F63"/>
  </w:style>
  <w:style w:type="character" w:styleId="CommentReference">
    <w:name w:val="annotation reference"/>
    <w:basedOn w:val="DefaultParagraphFont"/>
    <w:uiPriority w:val="99"/>
    <w:semiHidden/>
    <w:unhideWhenUsed/>
    <w:rsid w:val="00C07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3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30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72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72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72AE"/>
    <w:rPr>
      <w:vertAlign w:val="superscript"/>
    </w:rPr>
  </w:style>
  <w:style w:type="table" w:styleId="TableGrid">
    <w:name w:val="Table Grid"/>
    <w:basedOn w:val="TableNormal"/>
    <w:uiPriority w:val="59"/>
    <w:rsid w:val="00511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5AB79-4250-4534-AA51-71E7E5EF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2022-10-07T18:00:48Z</dcterms:created>
  <dcterms:modified xsi:type="dcterms:W3CDTF">2022-10-07T18:00:48Z</dcterms:modified>
</cp:coreProperties>
</file>